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jc w:val="left"/>
        <w:rPr>
          <w:rFonts w:ascii="Arial" w:hAnsi="Arial" w:cs="Arial"/>
        </w:rPr>
      </w:pPr>
      <w:r>
        <w:rPr>
          <w:rFonts w:ascii="Arial" w:hAnsi="Arial" w:cs="Arial"/>
        </w:rPr>
        <w:t>Table 1</w:t>
      </w:r>
      <w:bookmarkStart w:id="0" w:name="_GoBack"/>
      <w:bookmarkEnd w:id="0"/>
      <w:r>
        <w:rPr>
          <w:rFonts w:ascii="Arial" w:hAnsi="Arial" w:cs="Arial"/>
        </w:rPr>
        <w:t>: Characteristics of the included and excluded patients</w:t>
      </w:r>
    </w:p>
    <w:tbl>
      <w:tblPr>
        <w:tblStyle w:val="Publicationstyle"/>
        <w:tblW w:w="9350" w:type="dxa"/>
        <w:tblLook w:val="04A0" w:firstRow="1" w:lastRow="0" w:firstColumn="1" w:lastColumn="0" w:noHBand="0" w:noVBand="1"/>
      </w:tblPr>
      <w:tblGrid>
        <w:gridCol w:w="2976"/>
        <w:gridCol w:w="2282"/>
        <w:gridCol w:w="2239"/>
        <w:gridCol w:w="1853"/>
      </w:tblGrid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Included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Excluded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p-value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194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73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FVC % predicted,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74.2 (21.1)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66.8 (18.4)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0.009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DLCO% predicted,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44.5 (16.1)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42.7 (17.6)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0.235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K-BILD Breathlessness and Activities,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41.2 (21.0)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34.8 (20.4)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0.082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K-BILD Chest Symptoms,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62.4 (23.0)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65.2 (21.9)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0.339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K-BILD Psychological,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51.0 (13.9)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52.5 (13.4)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0.716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K-BILD Total, mean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52.8 (12.1)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52.5 (10.8)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0.737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EQ-5D-5L VAS, mean (SD) *</w:t>
            </w:r>
          </w:p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60.0 (19.5)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58.8 (19.4)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0.691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age, years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61.7 (12.7)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63.3 (13.9)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0.079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time since diagnosis, years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4.3 (6.3)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3.0 (4.8)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0.026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number of comorbidities (SD)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2.8 (1.8)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2.9 (1.6)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0.442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Male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66 (34.0)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25 (34.3)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0.972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ILD subtypes: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0.333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55 (28.4)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 (20.6)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Sarcoidosis; %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43 (22.2)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15 (20.6)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Other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96 (49.5)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43 (58.9)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 status: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0.923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Current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 (3.6)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 (2.8)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Former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112 (57.7)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43 (59.7)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medication use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117 (60.3)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49 (67.1)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0.306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Education: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0.888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Basic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80 (41.2)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32 (43.8)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Secondary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56 (28.9)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 (26.0)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Higher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58 (29.9)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22 (30.1)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Employed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59 (30.4)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19 (26.0)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0.483</w:t>
            </w:r>
          </w:p>
        </w:tc>
      </w:tr>
      <w:tr>
        <w:tc>
          <w:tcPr>
            <w:tcW w:w="2976" w:type="dxa"/>
          </w:tcPr>
          <w:p>
            <w:pPr>
              <w:pStyle w:val="NoSpacing"/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Heidelberg (%)</w:t>
            </w:r>
          </w:p>
        </w:tc>
        <w:tc>
          <w:tcPr>
            <w:tcW w:w="2282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125 (64.4)</w:t>
            </w:r>
          </w:p>
        </w:tc>
        <w:tc>
          <w:tcPr>
            <w:tcW w:w="2239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53 (72.6)</w:t>
            </w:r>
          </w:p>
        </w:tc>
        <w:tc>
          <w:tcPr>
            <w:tcW w:w="1853" w:type="dxa"/>
          </w:tcPr>
          <w:p>
            <w:pPr>
              <w:pStyle w:val="NoSpacing"/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0.207</w:t>
            </w:r>
          </w:p>
        </w:tc>
      </w:tr>
    </w:tbl>
    <w:p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* </w:t>
      </w:r>
      <w:proofErr w:type="gramStart"/>
      <w:r>
        <w:rPr>
          <w:rFonts w:ascii="Arial" w:hAnsi="Arial" w:cs="Arial"/>
          <w:sz w:val="22"/>
        </w:rPr>
        <w:t>the</w:t>
      </w:r>
      <w:proofErr w:type="gramEnd"/>
      <w:r>
        <w:rPr>
          <w:rFonts w:ascii="Arial" w:hAnsi="Arial" w:cs="Arial"/>
          <w:sz w:val="22"/>
        </w:rPr>
        <w:t xml:space="preserve"> complete cases for VAS were 192 and 70 of them had a clinically meaningful decline in HRQL </w:t>
      </w:r>
    </w:p>
    <w:p/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CC71AB-84A9-4456-BB11-515D0557A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80" w:lineRule="auto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  <w:jc w:val="both"/>
    </w:pPr>
    <w:rPr>
      <w:sz w:val="24"/>
      <w:szCs w:val="24"/>
    </w:rPr>
  </w:style>
  <w:style w:type="table" w:customStyle="1" w:styleId="Publicationstyle">
    <w:name w:val="Publication style"/>
    <w:basedOn w:val="TableNormal"/>
    <w:uiPriority w:val="99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cPr>
      <w:shd w:val="clear" w:color="auto" w:fill="FFFFFF" w:themeFill="background1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Maqhuzu, Phillen Nozibuyiso</dc:creator>
  <cp:keywords/>
  <dc:description/>
  <cp:lastModifiedBy>Maqhuzu, Phillen Nozibuyiso</cp:lastModifiedBy>
  <cp:revision>2</cp:revision>
  <dcterms:created xsi:type="dcterms:W3CDTF">2020-04-03T15:50:00Z</dcterms:created>
  <dcterms:modified xsi:type="dcterms:W3CDTF">2020-04-03T15:53:00Z</dcterms:modified>
</cp:coreProperties>
</file>